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675"/>
        <w:gridCol w:w="3828"/>
        <w:gridCol w:w="1134"/>
        <w:gridCol w:w="1417"/>
        <w:gridCol w:w="1468"/>
      </w:tblGrid>
      <w:tr w:rsidR="00BB4359" w:rsidTr="00BB4359">
        <w:trPr>
          <w:trHeight w:val="510"/>
        </w:trPr>
        <w:tc>
          <w:tcPr>
            <w:tcW w:w="8522" w:type="dxa"/>
            <w:gridSpan w:val="5"/>
            <w:vAlign w:val="center"/>
          </w:tcPr>
          <w:p w:rsidR="00BB4359" w:rsidRPr="00EE73E2" w:rsidRDefault="00BB4359" w:rsidP="00BB4359">
            <w:pPr>
              <w:tabs>
                <w:tab w:val="left" w:pos="2775"/>
              </w:tabs>
              <w:spacing w:line="220" w:lineRule="atLeast"/>
              <w:jc w:val="center"/>
              <w:rPr>
                <w:b/>
              </w:rPr>
            </w:pPr>
            <w:r w:rsidRPr="00EE73E2">
              <w:rPr>
                <w:rFonts w:hint="eastAsia"/>
                <w:b/>
              </w:rPr>
              <w:t>2016</w:t>
            </w:r>
            <w:r w:rsidRPr="00EE73E2">
              <w:rPr>
                <w:rFonts w:hint="eastAsia"/>
                <w:b/>
              </w:rPr>
              <w:t>年学生发表论文</w:t>
            </w:r>
          </w:p>
        </w:tc>
      </w:tr>
      <w:tr w:rsidR="00BB4359" w:rsidTr="004F4545">
        <w:trPr>
          <w:trHeight w:val="510"/>
        </w:trPr>
        <w:tc>
          <w:tcPr>
            <w:tcW w:w="675" w:type="dxa"/>
            <w:vAlign w:val="center"/>
          </w:tcPr>
          <w:p w:rsidR="00BB4359" w:rsidRPr="00EE73E2" w:rsidRDefault="00BB4359" w:rsidP="00BB4359">
            <w:pPr>
              <w:spacing w:line="220" w:lineRule="atLeast"/>
              <w:jc w:val="center"/>
              <w:rPr>
                <w:b/>
              </w:rPr>
            </w:pPr>
            <w:r w:rsidRPr="00EE73E2">
              <w:rPr>
                <w:rFonts w:hint="eastAsia"/>
                <w:b/>
              </w:rPr>
              <w:t>序号</w:t>
            </w:r>
          </w:p>
        </w:tc>
        <w:tc>
          <w:tcPr>
            <w:tcW w:w="3828" w:type="dxa"/>
            <w:vAlign w:val="center"/>
          </w:tcPr>
          <w:p w:rsidR="00BB4359" w:rsidRPr="00EE73E2" w:rsidRDefault="00BB4359" w:rsidP="00BB4359">
            <w:pPr>
              <w:spacing w:line="220" w:lineRule="atLeast"/>
              <w:jc w:val="center"/>
              <w:rPr>
                <w:b/>
              </w:rPr>
            </w:pPr>
            <w:r w:rsidRPr="00EE73E2">
              <w:rPr>
                <w:rFonts w:hint="eastAsia"/>
                <w:b/>
              </w:rPr>
              <w:t>论文名称</w:t>
            </w:r>
          </w:p>
        </w:tc>
        <w:tc>
          <w:tcPr>
            <w:tcW w:w="1134" w:type="dxa"/>
            <w:vAlign w:val="center"/>
          </w:tcPr>
          <w:p w:rsidR="00BB4359" w:rsidRPr="00EE73E2" w:rsidRDefault="00BB4359" w:rsidP="00BB4359">
            <w:pPr>
              <w:spacing w:line="220" w:lineRule="atLeast"/>
              <w:jc w:val="center"/>
              <w:rPr>
                <w:b/>
              </w:rPr>
            </w:pPr>
            <w:r w:rsidRPr="00EE73E2">
              <w:rPr>
                <w:rFonts w:hint="eastAsia"/>
                <w:b/>
              </w:rPr>
              <w:t>作者</w:t>
            </w:r>
          </w:p>
        </w:tc>
        <w:tc>
          <w:tcPr>
            <w:tcW w:w="1417" w:type="dxa"/>
            <w:vAlign w:val="center"/>
          </w:tcPr>
          <w:p w:rsidR="00BB4359" w:rsidRPr="00EE73E2" w:rsidRDefault="00BB4359" w:rsidP="00BB4359">
            <w:pPr>
              <w:spacing w:line="220" w:lineRule="atLeast"/>
              <w:jc w:val="center"/>
              <w:rPr>
                <w:b/>
              </w:rPr>
            </w:pPr>
            <w:r w:rsidRPr="00EE73E2">
              <w:rPr>
                <w:rFonts w:hint="eastAsia"/>
                <w:b/>
              </w:rPr>
              <w:t>刊物</w:t>
            </w:r>
          </w:p>
        </w:tc>
        <w:tc>
          <w:tcPr>
            <w:tcW w:w="1468" w:type="dxa"/>
            <w:vAlign w:val="center"/>
          </w:tcPr>
          <w:p w:rsidR="00BB4359" w:rsidRPr="00EE73E2" w:rsidRDefault="00BB4359" w:rsidP="00BB4359">
            <w:pPr>
              <w:spacing w:line="220" w:lineRule="atLeast"/>
              <w:jc w:val="center"/>
              <w:rPr>
                <w:b/>
              </w:rPr>
            </w:pPr>
            <w:r w:rsidRPr="00EE73E2">
              <w:rPr>
                <w:rFonts w:hint="eastAsia"/>
                <w:b/>
              </w:rPr>
              <w:t>期</w:t>
            </w:r>
          </w:p>
        </w:tc>
      </w:tr>
      <w:tr w:rsidR="00BB4359" w:rsidTr="004F4545">
        <w:trPr>
          <w:trHeight w:val="510"/>
        </w:trPr>
        <w:tc>
          <w:tcPr>
            <w:tcW w:w="675" w:type="dxa"/>
            <w:vAlign w:val="center"/>
          </w:tcPr>
          <w:p w:rsidR="00BB4359" w:rsidRPr="00BB4359" w:rsidRDefault="00BB4359" w:rsidP="00BB4359">
            <w:pPr>
              <w:spacing w:line="22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28" w:type="dxa"/>
            <w:vAlign w:val="center"/>
          </w:tcPr>
          <w:p w:rsidR="00BB4359" w:rsidRPr="00BB4359" w:rsidRDefault="00BB4359" w:rsidP="00BB4359">
            <w:pPr>
              <w:adjustRightInd/>
              <w:snapToGrid/>
              <w:jc w:val="center"/>
              <w:rPr>
                <w:rFonts w:ascii="宋体" w:eastAsia="宋体" w:hAnsi="宋体" w:cs="宋体" w:hint="eastAsia"/>
                <w:color w:val="000000"/>
              </w:rPr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传统商业银行对互联网金融影响的应对研究</w:t>
            </w:r>
          </w:p>
        </w:tc>
        <w:tc>
          <w:tcPr>
            <w:tcW w:w="1134" w:type="dxa"/>
            <w:vAlign w:val="center"/>
          </w:tcPr>
          <w:p w:rsidR="00BB4359" w:rsidRPr="00BB4359" w:rsidRDefault="00BB4359" w:rsidP="00BB4359">
            <w:pPr>
              <w:spacing w:line="22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王雨</w:t>
            </w:r>
          </w:p>
        </w:tc>
        <w:tc>
          <w:tcPr>
            <w:tcW w:w="1417" w:type="dxa"/>
            <w:vAlign w:val="center"/>
          </w:tcPr>
          <w:p w:rsidR="00BB4359" w:rsidRPr="00BB4359" w:rsidRDefault="00BB4359" w:rsidP="00BB4359">
            <w:pPr>
              <w:spacing w:line="220" w:lineRule="atLeas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现代商业</w:t>
            </w:r>
          </w:p>
        </w:tc>
        <w:tc>
          <w:tcPr>
            <w:tcW w:w="1468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2016年</w:t>
            </w:r>
          </w:p>
        </w:tc>
      </w:tr>
      <w:tr w:rsidR="004F4545" w:rsidTr="004F4545">
        <w:trPr>
          <w:trHeight w:val="510"/>
        </w:trPr>
        <w:tc>
          <w:tcPr>
            <w:tcW w:w="675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8" w:type="dxa"/>
            <w:vAlign w:val="center"/>
          </w:tcPr>
          <w:p w:rsidR="00BB4359" w:rsidRDefault="00BB4359" w:rsidP="00BB4359">
            <w:pPr>
              <w:adjustRightInd/>
              <w:snapToGrid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存款利率市场化改革对商业银行的影响及对策分析</w:t>
            </w:r>
          </w:p>
        </w:tc>
        <w:tc>
          <w:tcPr>
            <w:tcW w:w="1134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程宇</w:t>
            </w:r>
          </w:p>
        </w:tc>
        <w:tc>
          <w:tcPr>
            <w:tcW w:w="1417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金融经济</w:t>
            </w:r>
          </w:p>
        </w:tc>
        <w:tc>
          <w:tcPr>
            <w:tcW w:w="1468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2016年05期</w:t>
            </w:r>
          </w:p>
        </w:tc>
      </w:tr>
      <w:tr w:rsidR="004F4545" w:rsidTr="004F4545">
        <w:trPr>
          <w:trHeight w:val="510"/>
        </w:trPr>
        <w:tc>
          <w:tcPr>
            <w:tcW w:w="675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28" w:type="dxa"/>
            <w:vAlign w:val="center"/>
          </w:tcPr>
          <w:p w:rsidR="00BB4359" w:rsidRDefault="00BB4359" w:rsidP="00BB4359">
            <w:pPr>
              <w:adjustRightInd/>
              <w:snapToGrid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汇率改革对人民币兑美元汇率中间价的影响--基于ARIMAX模型的实证分析</w:t>
            </w:r>
          </w:p>
        </w:tc>
        <w:tc>
          <w:tcPr>
            <w:tcW w:w="1134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程宇</w:t>
            </w:r>
          </w:p>
        </w:tc>
        <w:tc>
          <w:tcPr>
            <w:tcW w:w="1417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当代经济</w:t>
            </w:r>
          </w:p>
        </w:tc>
        <w:tc>
          <w:tcPr>
            <w:tcW w:w="1468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2016年17期</w:t>
            </w:r>
          </w:p>
        </w:tc>
      </w:tr>
      <w:tr w:rsidR="004F4545" w:rsidTr="004F4545">
        <w:trPr>
          <w:trHeight w:val="510"/>
        </w:trPr>
        <w:tc>
          <w:tcPr>
            <w:tcW w:w="675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28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基于ARIMA_GARCH模型对上海银行间隔夜拆放利率的实证分析</w:t>
            </w:r>
          </w:p>
        </w:tc>
        <w:tc>
          <w:tcPr>
            <w:tcW w:w="1134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夏若雯</w:t>
            </w:r>
          </w:p>
        </w:tc>
        <w:tc>
          <w:tcPr>
            <w:tcW w:w="1417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商业经济</w:t>
            </w:r>
          </w:p>
        </w:tc>
        <w:tc>
          <w:tcPr>
            <w:tcW w:w="1468" w:type="dxa"/>
            <w:vAlign w:val="center"/>
          </w:tcPr>
          <w:p w:rsidR="00BB4359" w:rsidRDefault="00BB4359" w:rsidP="004F4545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2016年</w:t>
            </w:r>
            <w:r w:rsidR="004F4545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</w:t>
            </w: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5期</w:t>
            </w:r>
          </w:p>
        </w:tc>
      </w:tr>
      <w:tr w:rsidR="004F4545" w:rsidTr="004F4545">
        <w:trPr>
          <w:trHeight w:val="510"/>
        </w:trPr>
        <w:tc>
          <w:tcPr>
            <w:tcW w:w="675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28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京津冀产业发展定位及模式创新</w:t>
            </w:r>
          </w:p>
        </w:tc>
        <w:tc>
          <w:tcPr>
            <w:tcW w:w="1134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郭昊</w:t>
            </w:r>
          </w:p>
        </w:tc>
        <w:tc>
          <w:tcPr>
            <w:tcW w:w="1417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宏观经济管理</w:t>
            </w:r>
          </w:p>
        </w:tc>
        <w:tc>
          <w:tcPr>
            <w:tcW w:w="1468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2016年07期</w:t>
            </w:r>
          </w:p>
        </w:tc>
      </w:tr>
      <w:tr w:rsidR="004F4545" w:rsidTr="004F4545">
        <w:trPr>
          <w:trHeight w:val="510"/>
        </w:trPr>
        <w:tc>
          <w:tcPr>
            <w:tcW w:w="675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28" w:type="dxa"/>
            <w:vAlign w:val="center"/>
          </w:tcPr>
          <w:p w:rsidR="00BB4359" w:rsidRDefault="00BB4359" w:rsidP="00BB4359">
            <w:pPr>
              <w:adjustRightInd/>
              <w:snapToGrid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京津冀金融一体化程度研究</w:t>
            </w:r>
          </w:p>
        </w:tc>
        <w:tc>
          <w:tcPr>
            <w:tcW w:w="1134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冯宁卓</w:t>
            </w:r>
          </w:p>
        </w:tc>
        <w:tc>
          <w:tcPr>
            <w:tcW w:w="1417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河北金融</w:t>
            </w:r>
          </w:p>
        </w:tc>
        <w:tc>
          <w:tcPr>
            <w:tcW w:w="1468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2016年05期</w:t>
            </w:r>
          </w:p>
        </w:tc>
      </w:tr>
      <w:tr w:rsidR="004F4545" w:rsidTr="009A7AF3">
        <w:trPr>
          <w:trHeight w:val="633"/>
        </w:trPr>
        <w:tc>
          <w:tcPr>
            <w:tcW w:w="675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28" w:type="dxa"/>
            <w:vAlign w:val="center"/>
          </w:tcPr>
          <w:p w:rsidR="00BB4359" w:rsidRDefault="00BB4359" w:rsidP="009A7AF3">
            <w:pPr>
              <w:adjustRightInd/>
              <w:snapToGrid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人民币汇率对进口价格水平传递效应的非对称性研究</w:t>
            </w:r>
          </w:p>
        </w:tc>
        <w:tc>
          <w:tcPr>
            <w:tcW w:w="1134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刘青</w:t>
            </w:r>
          </w:p>
        </w:tc>
        <w:tc>
          <w:tcPr>
            <w:tcW w:w="1417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统计与决策</w:t>
            </w:r>
          </w:p>
        </w:tc>
        <w:tc>
          <w:tcPr>
            <w:tcW w:w="1468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2016年10期</w:t>
            </w:r>
          </w:p>
        </w:tc>
      </w:tr>
      <w:tr w:rsidR="004F4545" w:rsidTr="004F4545">
        <w:trPr>
          <w:trHeight w:val="510"/>
        </w:trPr>
        <w:tc>
          <w:tcPr>
            <w:tcW w:w="675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28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中国专利密集型产业技术创新效率评价</w:t>
            </w:r>
          </w:p>
        </w:tc>
        <w:tc>
          <w:tcPr>
            <w:tcW w:w="1134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孙磊</w:t>
            </w:r>
          </w:p>
        </w:tc>
        <w:tc>
          <w:tcPr>
            <w:tcW w:w="1417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科学管理研究</w:t>
            </w:r>
          </w:p>
        </w:tc>
        <w:tc>
          <w:tcPr>
            <w:tcW w:w="1468" w:type="dxa"/>
            <w:vAlign w:val="center"/>
          </w:tcPr>
          <w:p w:rsidR="00BB4359" w:rsidRDefault="00BB4359" w:rsidP="00BB4359">
            <w:pPr>
              <w:spacing w:line="220" w:lineRule="atLeast"/>
              <w:jc w:val="center"/>
            </w:pPr>
            <w:r w:rsidRPr="00BB435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2016年19期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4545"/>
    <w:rsid w:val="007873E8"/>
    <w:rsid w:val="008B7726"/>
    <w:rsid w:val="009A7AF3"/>
    <w:rsid w:val="00BB4359"/>
    <w:rsid w:val="00D31D50"/>
    <w:rsid w:val="00EE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2017-04-24T06:43:00Z</dcterms:modified>
</cp:coreProperties>
</file>